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851"/>
      </w:tblGrid>
      <w:tr>
        <w:trPr/>
        <w:tc>
          <w:tcPr>
            <w:tcW w:w="9851" w:type="dxa"/>
            <w:tcBorders/>
          </w:tcPr>
          <w:p>
            <w:pPr>
              <w:pStyle w:val="Header"/>
              <w:jc w:val="center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561975" cy="685800"/>
                  <wp:effectExtent l="0" t="0" r="0" b="0"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851" w:type="dxa"/>
            <w:tcBorders/>
          </w:tcPr>
          <w:p>
            <w:pPr>
              <w:pStyle w:val="Normal"/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>
              <w:rPr>
                <w:b/>
                <w:bCs/>
                <w:spacing w:val="20"/>
                <w:sz w:val="36"/>
                <w:szCs w:val="36"/>
              </w:rPr>
              <w:t>ПРЕДСЕДАТЕЛЬ СОВЕТА ДЕПУТАТОВ</w:t>
            </w:r>
          </w:p>
          <w:p>
            <w:pPr>
              <w:pStyle w:val="Normal"/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>
              <w:rPr>
                <w:b/>
                <w:bCs/>
                <w:spacing w:val="20"/>
                <w:sz w:val="36"/>
                <w:szCs w:val="36"/>
              </w:rPr>
              <w:t>Богородского муниципального округа</w:t>
            </w:r>
          </w:p>
          <w:p>
            <w:pPr>
              <w:pStyle w:val="Normal"/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>
              <w:rPr>
                <w:b/>
                <w:bCs/>
                <w:spacing w:val="20"/>
                <w:sz w:val="36"/>
                <w:szCs w:val="36"/>
              </w:rPr>
              <w:t>Нижегородской области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>
        <w:trPr/>
        <w:tc>
          <w:tcPr>
            <w:tcW w:w="9851" w:type="dxa"/>
            <w:tcBorders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b/>
                <w:spacing w:val="40"/>
                <w:sz w:val="48"/>
              </w:rPr>
            </w:pPr>
            <w:r>
              <w:rPr>
                <w:b/>
                <w:spacing w:val="40"/>
                <w:sz w:val="48"/>
              </w:rPr>
              <w:t>П О С Т А Н О В Л Е Н И Е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8"/>
        <w:gridCol w:w="1616"/>
        <w:gridCol w:w="2092"/>
        <w:gridCol w:w="1537"/>
        <w:gridCol w:w="1097"/>
      </w:tblGrid>
      <w:tr>
        <w:trPr/>
        <w:tc>
          <w:tcPr>
            <w:tcW w:w="322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13 декабря 2024 года</w:t>
            </w:r>
          </w:p>
        </w:tc>
        <w:tc>
          <w:tcPr>
            <w:tcW w:w="1616" w:type="dxa"/>
            <w:tcBorders/>
            <w:shd w:color="auto" w:fill="auto" w:val="clear"/>
          </w:tcPr>
          <w:p>
            <w:pPr>
              <w:pStyle w:val="Normal"/>
              <w:ind w:firstLine="709"/>
              <w:rPr/>
            </w:pPr>
            <w:r>
              <w:rPr/>
            </w:r>
          </w:p>
        </w:tc>
        <w:tc>
          <w:tcPr>
            <w:tcW w:w="2092" w:type="dxa"/>
            <w:tcBorders/>
            <w:shd w:color="auto" w:fill="auto" w:val="clear"/>
          </w:tcPr>
          <w:p>
            <w:pPr>
              <w:pStyle w:val="Normal"/>
              <w:ind w:firstLine="709"/>
              <w:rPr/>
            </w:pPr>
            <w:r>
              <w:rPr/>
            </w:r>
          </w:p>
        </w:tc>
        <w:tc>
          <w:tcPr>
            <w:tcW w:w="1537" w:type="dxa"/>
            <w:tcBorders/>
            <w:shd w:color="auto" w:fill="auto" w:val="clear"/>
          </w:tcPr>
          <w:p>
            <w:pPr>
              <w:pStyle w:val="Normal"/>
              <w:ind w:firstLine="709" w:left="-49"/>
              <w:jc w:val="right"/>
              <w:rPr/>
            </w:pPr>
            <w:r>
              <w:rPr/>
              <w:t>№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4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3828" w:type="dxa"/>
        <w:jc w:val="left"/>
        <w:tblInd w:w="144" w:type="dxa"/>
        <w:tblLayout w:type="fixed"/>
        <w:tblCellMar>
          <w:top w:w="0" w:type="dxa"/>
          <w:left w:w="72" w:type="dxa"/>
          <w:bottom w:w="0" w:type="dxa"/>
          <w:right w:w="72" w:type="dxa"/>
        </w:tblCellMar>
        <w:tblLook w:val="0000"/>
      </w:tblPr>
      <w:tblGrid>
        <w:gridCol w:w="3828"/>
      </w:tblGrid>
      <w:tr>
        <w:trPr/>
        <w:tc>
          <w:tcPr>
            <w:tcW w:w="3828" w:type="dxa"/>
            <w:tcBorders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плана мероприятий по противодействию коррупции в Совете депутатов Богородского муниципального округа Нижегородской области на 2025-2027 годы 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Cs w:val="28"/>
        </w:rPr>
        <w:t>В целях реализации антикоррупционной политики в Совете депутатов Богородского муниципального округа Нижегородской области,</w:t>
      </w:r>
    </w:p>
    <w:p>
      <w:pPr>
        <w:pStyle w:val="Normal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 о с т а н о в л я ю:</w:t>
      </w:r>
    </w:p>
    <w:p>
      <w:pPr>
        <w:pStyle w:val="Normal"/>
        <w:tabs>
          <w:tab w:val="clear" w:pos="708"/>
          <w:tab w:val="left" w:pos="1515" w:leader="none"/>
        </w:tabs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План мероприятий по противодействию коррупции в Совете депутатов Богородского муниципального округа Нижегородской области на 2025-2027 годы (далее - План) согласно приложению к настоящему постановлению. 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2. Разместить настоящее постановление на официальном сайте администрации Богородского муниципального округа Нижегородской области в информационно-телекоммуникационной сети Интернет.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Аппарату Совета депутатов Богородского муниципального округа Нижегородской области обеспечить выполнение Плана мероприятий, утвержденного настоящим постановлением.</w:t>
      </w:r>
    </w:p>
    <w:p>
      <w:pPr>
        <w:pStyle w:val="Normal"/>
        <w:tabs>
          <w:tab w:val="clear" w:pos="708"/>
          <w:tab w:val="left" w:pos="568" w:leader="none"/>
        </w:tabs>
        <w:spacing w:lineRule="atLeast" w:line="100"/>
        <w:ind w:firstLine="709"/>
        <w:jc w:val="both"/>
        <w:rPr>
          <w:rFonts w:eastAsia="Lucida Sans Unicode"/>
          <w:kern w:val="2"/>
        </w:rPr>
      </w:pPr>
      <w:r>
        <w:rPr>
          <w:color w:val="000000"/>
          <w:szCs w:val="28"/>
          <w:lang w:eastAsia="zh-CN"/>
        </w:rPr>
        <w:t>4. Опубликовать настоящее постановление в сетевом издании «Богородская газета».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515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1515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1515" w:leader="none"/>
        </w:tabs>
        <w:jc w:val="both"/>
        <w:rPr>
          <w:szCs w:val="28"/>
        </w:rPr>
      </w:pPr>
      <w:r>
        <w:rPr>
          <w:szCs w:val="28"/>
        </w:rPr>
        <w:t>Председатель Совета депутатов                                                    И.В.Санатова</w:t>
      </w:r>
    </w:p>
    <w:p>
      <w:pPr>
        <w:pStyle w:val="Normal"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jc w:val="both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Трофимычев Дмитрий Владимирович</w:t>
      </w:r>
    </w:p>
    <w:p>
      <w:pPr>
        <w:sectPr>
          <w:type w:val="nextPage"/>
          <w:pgSz w:w="11906" w:h="16838"/>
          <w:pgMar w:left="1701" w:right="851" w:gutter="0" w:header="0" w:top="284" w:footer="0" w:bottom="567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2-12-08</w:t>
      </w:r>
    </w:p>
    <w:p>
      <w:pPr>
        <w:pStyle w:val="Normal"/>
        <w:tabs>
          <w:tab w:val="clear" w:pos="708"/>
          <w:tab w:val="left" w:pos="568" w:leader="none"/>
        </w:tabs>
        <w:spacing w:lineRule="atLeast" w:line="100"/>
        <w:ind w:left="4962"/>
        <w:jc w:val="right"/>
        <w:rPr>
          <w:rFonts w:eastAsia="Lucida Sans Unicode"/>
          <w:kern w:val="2"/>
          <w:szCs w:val="28"/>
        </w:rPr>
      </w:pPr>
      <w:r>
        <w:rPr>
          <w:rFonts w:eastAsia="Lucida Sans Unicode"/>
          <w:kern w:val="2"/>
          <w:szCs w:val="28"/>
        </w:rPr>
        <w:t>Приложение</w:t>
      </w:r>
    </w:p>
    <w:p>
      <w:pPr>
        <w:pStyle w:val="Normal"/>
        <w:tabs>
          <w:tab w:val="clear" w:pos="708"/>
          <w:tab w:val="left" w:pos="568" w:leader="none"/>
        </w:tabs>
        <w:spacing w:lineRule="atLeast" w:line="100"/>
        <w:ind w:left="4962"/>
        <w:jc w:val="right"/>
        <w:rPr>
          <w:rFonts w:eastAsia="Lucida Sans Unicode"/>
          <w:kern w:val="2"/>
          <w:szCs w:val="28"/>
        </w:rPr>
      </w:pPr>
      <w:r>
        <w:rPr>
          <w:rFonts w:eastAsia="Lucida Sans Unicode"/>
          <w:kern w:val="2"/>
          <w:szCs w:val="28"/>
        </w:rPr>
        <w:t>УТВЕРЖДЕН</w:t>
      </w:r>
    </w:p>
    <w:p>
      <w:pPr>
        <w:pStyle w:val="Normal"/>
        <w:tabs>
          <w:tab w:val="clear" w:pos="708"/>
          <w:tab w:val="left" w:pos="568" w:leader="none"/>
          <w:tab w:val="left" w:pos="4962" w:leader="none"/>
        </w:tabs>
        <w:spacing w:lineRule="atLeast" w:line="100"/>
        <w:ind w:left="4962"/>
        <w:jc w:val="right"/>
        <w:rPr>
          <w:rFonts w:eastAsia="Lucida Sans Unicode"/>
          <w:kern w:val="2"/>
          <w:szCs w:val="28"/>
        </w:rPr>
      </w:pPr>
      <w:r>
        <w:rPr>
          <w:rFonts w:eastAsia="Lucida Sans Unicode"/>
          <w:kern w:val="2"/>
          <w:szCs w:val="28"/>
        </w:rPr>
        <w:t>постановлением председателя</w:t>
      </w:r>
    </w:p>
    <w:p>
      <w:pPr>
        <w:pStyle w:val="Normal"/>
        <w:tabs>
          <w:tab w:val="clear" w:pos="708"/>
          <w:tab w:val="left" w:pos="568" w:leader="none"/>
        </w:tabs>
        <w:spacing w:lineRule="atLeast" w:line="100"/>
        <w:ind w:left="4962"/>
        <w:jc w:val="right"/>
        <w:rPr>
          <w:rFonts w:eastAsia="Lucida Sans Unicode"/>
          <w:kern w:val="2"/>
          <w:szCs w:val="28"/>
        </w:rPr>
      </w:pPr>
      <w:r>
        <w:rPr>
          <w:rFonts w:eastAsia="Lucida Sans Unicode"/>
          <w:kern w:val="2"/>
          <w:szCs w:val="28"/>
        </w:rPr>
        <w:t>Совета депутатов Богородского</w:t>
      </w:r>
    </w:p>
    <w:p>
      <w:pPr>
        <w:pStyle w:val="Normal"/>
        <w:tabs>
          <w:tab w:val="clear" w:pos="708"/>
          <w:tab w:val="left" w:pos="568" w:leader="none"/>
        </w:tabs>
        <w:spacing w:lineRule="atLeast" w:line="100"/>
        <w:ind w:left="4962"/>
        <w:jc w:val="right"/>
        <w:rPr>
          <w:rFonts w:eastAsia="Lucida Sans Unicode"/>
          <w:kern w:val="2"/>
          <w:szCs w:val="28"/>
        </w:rPr>
      </w:pPr>
      <w:r>
        <w:rPr>
          <w:rFonts w:eastAsia="Lucida Sans Unicode"/>
          <w:kern w:val="2"/>
          <w:szCs w:val="28"/>
        </w:rPr>
        <w:t>муниципального округа</w:t>
      </w:r>
    </w:p>
    <w:p>
      <w:pPr>
        <w:pStyle w:val="Normal"/>
        <w:tabs>
          <w:tab w:val="clear" w:pos="708"/>
          <w:tab w:val="left" w:pos="568" w:leader="none"/>
        </w:tabs>
        <w:spacing w:lineRule="atLeast" w:line="100"/>
        <w:ind w:left="4962"/>
        <w:jc w:val="right"/>
        <w:rPr>
          <w:rFonts w:eastAsia="Lucida Sans Unicode"/>
          <w:kern w:val="2"/>
          <w:szCs w:val="28"/>
        </w:rPr>
      </w:pPr>
      <w:r>
        <w:rPr>
          <w:rFonts w:eastAsia="Lucida Sans Unicode"/>
          <w:kern w:val="2"/>
          <w:szCs w:val="28"/>
        </w:rPr>
        <w:t>Нижегородской области</w:t>
      </w:r>
    </w:p>
    <w:p>
      <w:pPr>
        <w:pStyle w:val="Normal"/>
        <w:tabs>
          <w:tab w:val="clear" w:pos="708"/>
          <w:tab w:val="left" w:pos="568" w:leader="none"/>
        </w:tabs>
        <w:spacing w:lineRule="atLeast" w:line="100"/>
        <w:ind w:left="4962"/>
        <w:jc w:val="right"/>
        <w:rPr>
          <w:color w:val="000000"/>
          <w:szCs w:val="28"/>
        </w:rPr>
      </w:pPr>
      <w:r>
        <w:rPr>
          <w:rFonts w:eastAsia="Lucida Sans Unicode"/>
          <w:kern w:val="2"/>
          <w:szCs w:val="28"/>
        </w:rPr>
        <w:t>от</w:t>
      </w:r>
      <w:r>
        <w:rPr>
          <w:color w:val="000000"/>
          <w:szCs w:val="28"/>
        </w:rPr>
        <w:t xml:space="preserve"> 13 декабря 2024 года  № 4</w:t>
      </w:r>
    </w:p>
    <w:p>
      <w:pPr>
        <w:pStyle w:val="Normal"/>
        <w:tabs>
          <w:tab w:val="clear" w:pos="708"/>
          <w:tab w:val="left" w:pos="568" w:leader="none"/>
        </w:tabs>
        <w:spacing w:lineRule="atLeast" w:line="100"/>
        <w:ind w:left="4962"/>
        <w:jc w:val="right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по противодействию коррупции в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Совете депутатов Богородского муниципального округа Нижегородской области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на 2025-2027</w:t>
      </w:r>
      <w:bookmarkStart w:id="0" w:name="_GoBack"/>
      <w:bookmarkEnd w:id="0"/>
      <w:r>
        <w:rPr>
          <w:b/>
          <w:szCs w:val="28"/>
        </w:rPr>
        <w:t xml:space="preserve"> годы</w:t>
      </w:r>
    </w:p>
    <w:p>
      <w:pPr>
        <w:pStyle w:val="Normal"/>
        <w:jc w:val="center"/>
        <w:rPr>
          <w:b/>
          <w:szCs w:val="28"/>
        </w:rPr>
      </w:pPr>
      <w:r>
        <w:rPr>
          <w:b/>
          <w:i/>
          <w:szCs w:val="28"/>
          <w:highlight w:val="yellow"/>
        </w:rPr>
        <w:t xml:space="preserve">                                                                                     </w:t>
      </w:r>
    </w:p>
    <w:tbl>
      <w:tblPr>
        <w:tblW w:w="152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5670"/>
        <w:gridCol w:w="2126"/>
        <w:gridCol w:w="3119"/>
        <w:gridCol w:w="3539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Ожидаемый 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1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1. Совершенствование нормативной базы в сфере противодействия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 Богородского муниципального округа Нижегородской области (далее - Руководитель  аппарата Совета депутатов)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нормативной базы по вопросам противодействия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нормативных правовых актов органа местного самоуправления в целях приведения их в соответствие с действующим законодательством Российской Федерации и Нижегородской области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нормативных правовых актов в соответствие действующим законодательством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органа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коррупциогенных факторов в нормативных правовых актах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органы прокуратуры проектов муниципальных нормативных правовых актов по вопросам противодействия коррупции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нормативных правовых актов на соответствие действующему законодательству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норм антикоррупционного законодательства</w:t>
            </w:r>
          </w:p>
        </w:tc>
      </w:tr>
      <w:tr>
        <w:trPr/>
        <w:tc>
          <w:tcPr>
            <w:tcW w:w="1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Организация и проведение работы по представлению сведений о доходах, 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расходах, об имуществе и обязательствах имущественного характера, 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 также по проверке и опубликованию данных сведений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января по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норм антикоррупционного законодательства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 (проведение персональных консультаций, семинаров, круглых столов)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января по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января по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информации, являющейся основанием для проведения проверок в связи с несоблюдением запретов и ограничений, требований к служебному поведению, мер по предотвращению и урегулированию конфликта интересов, предоставлением недостоверных и (или) неполных сведений о доходах, а также в целях осуществление контроля за превышением расходов над доходами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опубликованию сведений о доходах, расходах, об имуществе и обязательствах имущественного характера муниципальных служащих, а также членов их семей на официальном сайте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Указа Президента РФ от 08.07.2013 № 613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31 мая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норм антикоррупционного законодательства.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ошибок и неточностей в представленных сведениях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службы, включенных в соответствующий перечень должностей, а также членов их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норм антикоррупционного законодательства.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информации, являющейся основанием для проведения проверок в связи с несоблюдением запретов и ограничений, требований к служебному поведению, мер по предотвращению и урегулированию конфликта интересов, предоставлением недостоверных и (или) неполных сведений о доходах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лиц, претендующих на замещение должностей муниципальной службы, включенных в соответствующий перечень должностей, а также членов их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 месяца со дня представления сведений о доходах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норм антикоррупционного законодательства.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ошибок и неточностей в представленных сведениях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проверки достоверности и полноты сведений о доходах, об имуществе и обязательствах имущественного характера в отношении лиц, обязанных предоставлять данные сведения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оснований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фактов представления неполных и недостоверных сведений о доходах, об имуществе и обязательствах имущественного характера</w:t>
            </w:r>
          </w:p>
        </w:tc>
      </w:tr>
      <w:tr>
        <w:trPr/>
        <w:tc>
          <w:tcPr>
            <w:tcW w:w="1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Совершенствование взаимодействия с населением по вопросам противодействия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учета обращений граждан и юридических лиц о фактах коррупции и иных неправомерных действиях муниципальных служащих Совета депутатов, поступающих посредством:</w:t>
            </w:r>
          </w:p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-личного приёма граждан председателем Совета депутатов;</w:t>
            </w:r>
          </w:p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-«Горячей телефонной линии» администрации;</w:t>
            </w:r>
          </w:p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письменных обращений;</w:t>
            </w:r>
          </w:p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-«Интернет-приёмной» на сайте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возможности для граждан и юридических лиц сообщать о фактах коррупции. Организация информационной открытости в сфере противодействия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муниципальных служащих аппарата Совета депутатов, а также причин и условий, способствующих возникновению данных обращений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работы с обращениями граждан и юридических лиц, содержащими сведения о фактах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Участие в проведении социологических исследований отношения</w:t>
            </w:r>
            <w:r>
              <w:rPr>
                <w:sz w:val="24"/>
                <w:szCs w:val="24"/>
              </w:rPr>
              <w:t xml:space="preserve"> к коррупции среди различных категорий населения, муниципальных служащих, представителей малого и крупного предпринимательства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наиболее коррумпированных сфер, оценка эффективности антикоррупционной работы и принятие необходимых мер по совершенствованию работы по противодействию коррупции на основании данных </w:t>
            </w:r>
            <w:r>
              <w:rPr>
                <w:spacing w:val="-4"/>
                <w:sz w:val="24"/>
                <w:szCs w:val="24"/>
              </w:rPr>
              <w:t>социологических исследований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институтами гражданского общества по вопросам противодействия коррупции: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включение независимых экспертов в составы комиссий;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совещаний, круглых столов с представителями общественных организаций;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вынесение на общественное обсуждение проектов нормативных правовых актов Совета депутатов;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с участием общественных организаций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оценка деятельности Совета депутатов.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качества муниципального правотворчества и правоприменения.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Антикоррупционное просвещение муниципальных служащих</w:t>
            </w:r>
          </w:p>
        </w:tc>
      </w:tr>
      <w:tr>
        <w:trPr/>
        <w:tc>
          <w:tcPr>
            <w:tcW w:w="1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Совершенствование кадрового аспекта работы по противодействию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муниципальных служащих</w:t>
            </w:r>
            <w:r>
              <w:rPr>
                <w:bCs/>
                <w:sz w:val="24"/>
                <w:szCs w:val="24"/>
              </w:rPr>
              <w:t xml:space="preserve"> по вопросам противодействия коррупции: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Антикоррупционное просвещение муниципальных служащих.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соблюдения муниципальными служащими установленных законодательством требований к служебному поведению, обязанностей, запретов и ограничений 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лиц, впервые поступивших на муниципальную службу или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r>
              <w:rPr>
                <w:color w:val="000000"/>
                <w:sz w:val="24"/>
                <w:szCs w:val="24"/>
              </w:rPr>
              <w:t xml:space="preserve">формированию негативного отношения к получению подарков;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 </w:t>
            </w:r>
            <w:r>
              <w:rPr>
                <w:sz w:val="24"/>
                <w:szCs w:val="24"/>
              </w:rPr>
              <w:t xml:space="preserve">порядку уведомления о получении подарка и его передачи;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 увольнении в связи с утратой доверия;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color w:val="000000"/>
                <w:sz w:val="24"/>
                <w:szCs w:val="24"/>
              </w:rPr>
              <w:t>формированию отрицательного отношения к коррупции 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разъяснительных мероприятий (вводные тренинги для поступающих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увольнения с муниципальной службы и т.д.)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методических рекомендаций по вопросам противодействия коррупции для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Комиссия по соблюдению требований к служебному поведению лицами, замещающими муниципальные должности и урегулированию конфликта интересов 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анкетных и иных данных муниципальных служащих, а также лиц, претендующих на замещение должностей муниципальной службы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обращений граждан и организаций на предмет наличия информации о фактах коррупции и иных неправомерных действиях муниципальных служащих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 муниципальных служащих, лиц, претендующих на замещение должностей муниципальной службы, а также членов их семей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СМИ на наличие информации о фактах коррупции и иных неправомерных действиях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количества нарушений, связанных с конфликтом интересов на муниципальной службе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проверок по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коррупции, муниципальными служащими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фактов нарушения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 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Организация проверок соблюдения гражданином, замещавшим должность муниципальной службы, ограничений при заключении с ним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гражданско-правового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или трудового договора, если отдельные функции муниципального </w:t>
            </w:r>
            <w:r>
              <w:rPr>
                <w:color w:val="000000"/>
                <w:sz w:val="24"/>
                <w:szCs w:val="24"/>
              </w:rPr>
              <w:t xml:space="preserve">управления данной организацией входили в должностные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(служебные) обязанности муниципального </w:t>
            </w:r>
            <w:r>
              <w:rPr>
                <w:color w:val="000000"/>
                <w:sz w:val="24"/>
                <w:szCs w:val="24"/>
              </w:rPr>
              <w:t>служащего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фактов нарушения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гражданином, замещавшим должность муниципальной службы, ограничений при заключении с ним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гражданско-правового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или трудового договора, если отдельные функции муниципального </w:t>
            </w:r>
            <w:r>
              <w:rPr>
                <w:color w:val="000000"/>
                <w:sz w:val="24"/>
                <w:szCs w:val="24"/>
              </w:rPr>
              <w:t xml:space="preserve">управления данной организацией входили в должностные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(служебные) обязанности муниципального </w:t>
            </w:r>
            <w:r>
              <w:rPr>
                <w:color w:val="000000"/>
                <w:sz w:val="24"/>
                <w:szCs w:val="24"/>
              </w:rPr>
              <w:t>служащего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Организация проверок соблюдения работодателем условий заключения трудового или гражданско-правового договора с гражданином, замещавшим должность муниципальной службы, включенную в соответствующий перечень должностей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  <w:highlight w:val="yellow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фактов несоблюдения </w:t>
            </w:r>
            <w:r>
              <w:rPr>
                <w:color w:val="000000"/>
                <w:spacing w:val="-1"/>
                <w:sz w:val="24"/>
                <w:szCs w:val="24"/>
              </w:rPr>
              <w:t>работодателем</w:t>
            </w:r>
            <w:r>
              <w:rPr>
                <w:sz w:val="24"/>
                <w:szCs w:val="24"/>
              </w:rPr>
              <w:t xml:space="preserve"> обязанности по уведомлению о трудоустройстве бывшего муниципального служащего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депутатов;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Комиссия по соблюдению требований к служебному поведению лицами, замещающими муниципальные должности и урегулированию конфликта интересов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мер юридической ответственности по </w:t>
            </w:r>
            <w:r>
              <w:rPr>
                <w:b/>
                <w:sz w:val="24"/>
                <w:szCs w:val="24"/>
                <w:u w:val="single"/>
              </w:rPr>
              <w:t>каждому случаю</w:t>
            </w:r>
            <w:r>
              <w:rPr>
                <w:sz w:val="24"/>
                <w:szCs w:val="24"/>
              </w:rPr>
              <w:t xml:space="preserve">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систематического анализа коррупционных рисков в деятельности органа местного самоуправления. Внесение предложений по оптимизации Перечня должностей с коррупционными рисками, замещение которых предполагает представление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1 раза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коррупционных функций в деятельности Совета депутатов. Своевременное внесение изменений в соответствующий Перечень должностей с коррупционными рисками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департаменту государственной гражданской и муниципальной службы управления делами Правительства и развития кадрового потенциала Нижегородской области по вопросам противодействия коррупции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департаментом по вопросам противодействия коррупции. Эффективный обмен информацией</w:t>
            </w:r>
          </w:p>
        </w:tc>
      </w:tr>
      <w:tr>
        <w:trPr/>
        <w:tc>
          <w:tcPr>
            <w:tcW w:w="1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Использование информационных ресурсов в работе по противодействию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информационного наполнения специализированного раздела официального сайта органа местного самоуправления </w:t>
            </w:r>
            <w:r>
              <w:rPr>
                <w:spacing w:val="-10"/>
                <w:sz w:val="24"/>
                <w:szCs w:val="24"/>
              </w:rPr>
              <w:t>«Противодействие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коррупции» по вопросам реализации антикоррупционной</w:t>
            </w:r>
            <w:r>
              <w:rPr>
                <w:sz w:val="24"/>
                <w:szCs w:val="24"/>
              </w:rPr>
              <w:t xml:space="preserve"> политики и поддержание его в актуальном состоянии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открытости в сфере противодействия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средствах массовой информации и на официальном сайте органа местного самоуправления результатов деятельности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в средствах массовой информации наиболее ярких фактов коррупционных проявлений и принятых мерах реагирования, в том числе предание гласности случаев несоблюдения требований о предотвращении или об урегулировании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размещение в средствах массовой информации материалов антикоррупционной направленности (социальные видеоролики, видеосюжеты, публикации в газетах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Регулярная актуализация информации по вопросу противодействия коррупции, размещаемой на стенде в здании органа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Иные мероприятия по вопросам противодействия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Совете депутатов работы, направленной на выявление личной заинтересованности муниципальных служащих при осуществлении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которая приводит или может привести к конфликту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минимизация коррупционных рисков при осуществлении закупок товаров, работ, услуг для обеспечения муниципальных нужд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и информационное обеспечение деятельности комиссии по координации работы по противодействию коррупции (подготовка решений комиссии, протоколов, пресс-релизов, информационных сообщений о заседаниях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деятельности комиссии по координации работы по противодействию коррупции</w:t>
            </w:r>
          </w:p>
        </w:tc>
      </w:tr>
      <w:tr>
        <w:trPr>
          <w:trHeight w:val="3074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обсуждения на заседаниях </w:t>
            </w:r>
            <w:r>
              <w:rPr>
                <w:sz w:val="24"/>
                <w:szCs w:val="24"/>
              </w:rPr>
              <w:t xml:space="preserve">комиссии по координации работы по противодействию коррупции </w:t>
            </w:r>
            <w:r>
              <w:rPr>
                <w:bCs/>
                <w:sz w:val="24"/>
                <w:szCs w:val="24"/>
              </w:rPr>
              <w:t>вопроса о состоянии работы по выявлению</w:t>
            </w:r>
            <w:r>
              <w:rPr>
                <w:sz w:val="24"/>
                <w:szCs w:val="24"/>
              </w:rPr>
              <w:t xml:space="preserve"> случаев несоблюдения муниципальными служащими требований о предотвращении или об урегулировании конфликта интересов, а также нарушения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работы по противодействию коррупции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коррупцией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эффективного обмена информацией по вопросам противодействия коррупции среди различных государственных органов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Руководитель аппарата Совета депутатов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Указа Президента РФ от 01.07.2010 № 821 и соответствующих муниципальных норматив-ных правовых актов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приема, хранения, оценки и реализации (выкупа)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законодательно установленной обязанности для муниципальных служащих по сдаче подарков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контроля за исполнением настоящего Плана мероприятий и представление председателю </w:t>
            </w:r>
            <w:r>
              <w:rPr>
                <w:sz w:val="24"/>
                <w:szCs w:val="24"/>
              </w:rPr>
              <w:t>комиссии по координации работы по противодействию коррупции</w:t>
            </w:r>
            <w:r>
              <w:rPr>
                <w:color w:val="000000"/>
                <w:sz w:val="24"/>
                <w:szCs w:val="24"/>
              </w:rPr>
              <w:t xml:space="preserve"> сводного отчета о ходе его реализации и предложений, касающихся совершенствования деятельности по противодействию коррупции в Совете депутатов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аппарата Совета депутатов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исполнением мероприятий, предусмотренных настоящим Планом мероприятий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335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type w:val="nextPage"/>
      <w:pgSz w:orient="landscape" w:w="16838" w:h="11906"/>
      <w:pgMar w:left="1134" w:right="1134" w:gutter="0" w:header="0" w:top="1418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7bb7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127bb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7637f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e18ea"/>
    <w:rPr>
      <w:rFonts w:ascii="Segoe UI" w:hAnsi="Segoe UI" w:eastAsia="Times New Roman" w:cs="Segoe UI"/>
      <w:sz w:val="18"/>
      <w:szCs w:val="18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127bb7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Style15"/>
    <w:uiPriority w:val="99"/>
    <w:semiHidden/>
    <w:unhideWhenUsed/>
    <w:rsid w:val="007637f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7637f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e18e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C981-B343-42E1-88D7-321CD4C2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LibreOffice/7.6.0.3$Windows_X86_64 LibreOffice_project/69edd8b8ebc41d00b4de3915dc82f8f0fc3b6265</Application>
  <AppVersion>15.0000</AppVersion>
  <Pages>12</Pages>
  <Words>2649</Words>
  <Characters>19986</Characters>
  <CharactersWithSpaces>22502</CharactersWithSpaces>
  <Paragraphs>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2021-03-22T11:59:00Z</dcterms:created>
  <dc:creator>Пользователь</dc:creator>
  <dc:description/>
  <dc:language>ru-RU</dc:language>
  <cp:lastModifiedBy/>
  <cp:lastPrinted>2022-10-05T08:31:00Z</cp:lastPrinted>
  <dcterms:modified xsi:type="dcterms:W3CDTF">2024-12-13T14:05:37Z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